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5905E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43FB0E2C" w14:textId="10DC78BD" w:rsid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</w:p>
    <w:p w14:paraId="6559A177" w14:textId="77777777" w:rsidR="00F57D69" w:rsidRDefault="00F57D69" w:rsidP="00F57D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="720"/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bdr w:val="none" w:sz="0" w:space="0" w:color="auto"/>
          <w:lang w:val="fr-BE"/>
        </w:rPr>
      </w:pPr>
      <w:r>
        <w:rPr>
          <w:rFonts w:cstheme="minorHAnsi"/>
          <w:b/>
          <w:bCs/>
          <w:color w:val="000000" w:themeColor="text1"/>
          <w:sz w:val="22"/>
          <w:szCs w:val="22"/>
          <w:u w:val="single"/>
          <w:lang w:val="fr-BE"/>
        </w:rPr>
        <w:t>COMMUNE DE SENEFFE – ex-Feluy</w:t>
      </w:r>
    </w:p>
    <w:p w14:paraId="3A942F38" w14:textId="77777777" w:rsidR="00F57D69" w:rsidRDefault="00F57D69" w:rsidP="00F57D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="720"/>
        <w:rPr>
          <w:rFonts w:cstheme="minorHAnsi"/>
          <w:color w:val="000000" w:themeColor="text1"/>
          <w:sz w:val="22"/>
          <w:szCs w:val="22"/>
          <w:lang w:val="fr-BE"/>
        </w:rPr>
      </w:pPr>
      <w:r>
        <w:rPr>
          <w:rFonts w:cstheme="minorHAnsi"/>
          <w:color w:val="000000" w:themeColor="text1"/>
          <w:sz w:val="22"/>
          <w:szCs w:val="22"/>
          <w:lang w:val="fr-BE"/>
        </w:rPr>
        <w:t>Une pâture située au lieu-dit Champ du Neuf Vivier, cadastré section B numéro 253 et 304 B pour une contenance de deux hectares huit ares quatre-vingts centiares (2ha 8a 80ca).</w:t>
      </w:r>
    </w:p>
    <w:p w14:paraId="1C49F6F7" w14:textId="77777777" w:rsidR="00F57D69" w:rsidRPr="00F57D69" w:rsidRDefault="00F57D69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4E161DB9" w14:textId="7AC780FE" w:rsidR="006E0C2B" w:rsidRPr="00F57D69" w:rsidRDefault="006E0C2B" w:rsidP="00F57D69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51B06478" w:rsidR="00C33A7B" w:rsidRDefault="00F57D69" w:rsidP="00C33A7B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>
        <w:rPr>
          <w:rFonts w:asciiTheme="majorHAnsi" w:hAnsiTheme="majorHAnsi" w:cstheme="majorHAnsi"/>
          <w:lang w:val="fr-BE"/>
        </w:rPr>
        <w:t>ar la libre dispo</w:t>
      </w:r>
      <w:r w:rsidR="005905E3">
        <w:rPr>
          <w:rFonts w:asciiTheme="majorHAnsi" w:hAnsiTheme="majorHAnsi" w:cstheme="majorHAnsi"/>
          <w:lang w:val="fr-BE"/>
        </w:rPr>
        <w:t>s</w:t>
      </w:r>
      <w:r w:rsidR="00C33A7B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61286CE8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</w:p>
    <w:p w14:paraId="32107905" w14:textId="4C5CFB96" w:rsidR="006E0C2B" w:rsidRDefault="00230CCE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3CFF8C2F" w14:textId="77777777" w:rsidR="006E0C2B" w:rsidRPr="006E0C2B" w:rsidRDefault="00230CCE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230CCE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hyperlink r:id="rId1" w:history="1">
        <w:r w:rsidRPr="0012760E">
          <w:rPr>
            <w:rFonts w:asciiTheme="majorHAnsi" w:eastAsia="Calibri" w:hAnsiTheme="majorHAnsi" w:cstheme="majorHAnsi"/>
            <w:bdr w:val="none" w:sz="0" w:space="0" w:color="auto"/>
            <w:lang w:val="fr-BE"/>
          </w:rPr>
          <w:t>l’article I, 8, 39° du Code de droit économique</w:t>
        </w:r>
      </w:hyperlink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230CCE"/>
    <w:rsid w:val="0023499D"/>
    <w:rsid w:val="00295D91"/>
    <w:rsid w:val="0033117E"/>
    <w:rsid w:val="003F1478"/>
    <w:rsid w:val="0040130E"/>
    <w:rsid w:val="00427BAF"/>
    <w:rsid w:val="004900EF"/>
    <w:rsid w:val="004F772D"/>
    <w:rsid w:val="00531875"/>
    <w:rsid w:val="005419BF"/>
    <w:rsid w:val="00581AE2"/>
    <w:rsid w:val="005905E3"/>
    <w:rsid w:val="006E0C2B"/>
    <w:rsid w:val="00824640"/>
    <w:rsid w:val="00846C78"/>
    <w:rsid w:val="008C70E8"/>
    <w:rsid w:val="0098606B"/>
    <w:rsid w:val="00A62942"/>
    <w:rsid w:val="00A85931"/>
    <w:rsid w:val="00AA2BBC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57D69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change_lg.pl?language=fr&amp;la=F&amp;cn=2013022819&amp;table_name=lo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Catherine De Grox</cp:lastModifiedBy>
  <cp:revision>3</cp:revision>
  <cp:lastPrinted>2023-04-14T12:16:00Z</cp:lastPrinted>
  <dcterms:created xsi:type="dcterms:W3CDTF">2024-01-10T15:51:00Z</dcterms:created>
  <dcterms:modified xsi:type="dcterms:W3CDTF">2024-01-10T15:52:00Z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