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6D276096" w14:textId="77777777" w:rsidR="000B0801" w:rsidRPr="006E0C2B" w:rsidRDefault="000B0801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</w:p>
    <w:p w14:paraId="5A1165D0" w14:textId="77777777" w:rsidR="00A14679" w:rsidRDefault="00A14679" w:rsidP="000B0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2"/>
          <w:szCs w:val="22"/>
          <w:u w:val="single"/>
          <w:lang w:val="fr-FR"/>
        </w:rPr>
      </w:pPr>
      <w:bookmarkStart w:id="0" w:name="DG053G1000700"/>
    </w:p>
    <w:p w14:paraId="4D576F8E" w14:textId="7B21C863" w:rsidR="000B0801" w:rsidRPr="00A444B9" w:rsidRDefault="000B0801" w:rsidP="000B0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r w:rsidRPr="00A444B9">
        <w:rPr>
          <w:rFonts w:cstheme="minorHAnsi"/>
          <w:b/>
          <w:sz w:val="22"/>
          <w:szCs w:val="22"/>
          <w:u w:val="single"/>
          <w:lang w:val="fr-FR"/>
        </w:rPr>
        <w:t>VILLE DE NIVELLES 2° division</w:t>
      </w:r>
    </w:p>
    <w:p w14:paraId="2E5F8C1B" w14:textId="77777777" w:rsidR="000B0801" w:rsidRDefault="000B0801" w:rsidP="000B0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r w:rsidRPr="00A444B9">
        <w:rPr>
          <w:rFonts w:cstheme="minorHAnsi"/>
          <w:sz w:val="22"/>
          <w:szCs w:val="22"/>
          <w:lang w:val="fr-FR"/>
        </w:rPr>
        <w:t xml:space="preserve">Une maison d'habitation, sise Boulevard de la Résistance 49, cadastrée section C, numéro(s) 85L11 P0000, pour une superficie de cinq ares quatre-vingt-six centiares (5a 86ca). </w:t>
      </w:r>
      <w:bookmarkEnd w:id="0"/>
      <w:r w:rsidRPr="00A444B9">
        <w:rPr>
          <w:rFonts w:cstheme="minorHAnsi"/>
          <w:sz w:val="22"/>
          <w:szCs w:val="22"/>
          <w:lang w:val="fr-FR"/>
        </w:rPr>
        <w:t xml:space="preserve"> </w:t>
      </w:r>
    </w:p>
    <w:p w14:paraId="3B81BC4E" w14:textId="77777777" w:rsidR="00A14679" w:rsidRPr="00A444B9" w:rsidRDefault="00A14679" w:rsidP="000B0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</w:p>
    <w:p w14:paraId="43FB0E2C" w14:textId="77777777" w:rsidR="006E0C2B" w:rsidRPr="00A62942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1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1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75E4771B" w:rsidR="00C33A7B" w:rsidRPr="000B0801" w:rsidRDefault="000B0801" w:rsidP="000B0801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0B0801">
        <w:rPr>
          <w:rFonts w:asciiTheme="majorHAnsi" w:hAnsiTheme="majorHAnsi" w:cstheme="majorHAnsi"/>
          <w:lang w:val="fr-BE"/>
        </w:rPr>
        <w:t>ar la libre dispo</w:t>
      </w:r>
      <w:r w:rsidR="005905E3" w:rsidRPr="000B0801">
        <w:rPr>
          <w:rFonts w:asciiTheme="majorHAnsi" w:hAnsiTheme="majorHAnsi" w:cstheme="majorHAnsi"/>
          <w:lang w:val="fr-BE"/>
        </w:rPr>
        <w:t>s</w:t>
      </w:r>
      <w:r w:rsidR="00C33A7B" w:rsidRPr="000B0801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A1467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32B1B8F9" w14:textId="59DFEF9A" w:rsidR="006E0C2B" w:rsidRPr="006E0C2B" w:rsidRDefault="00A1467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A1467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0B0801"/>
    <w:rsid w:val="0012760E"/>
    <w:rsid w:val="001426A4"/>
    <w:rsid w:val="0023499D"/>
    <w:rsid w:val="00295D91"/>
    <w:rsid w:val="0033117E"/>
    <w:rsid w:val="003F1478"/>
    <w:rsid w:val="0040130E"/>
    <w:rsid w:val="00427BAF"/>
    <w:rsid w:val="004900EF"/>
    <w:rsid w:val="004F772D"/>
    <w:rsid w:val="00531875"/>
    <w:rsid w:val="005419BF"/>
    <w:rsid w:val="00581AE2"/>
    <w:rsid w:val="005905E3"/>
    <w:rsid w:val="00685B95"/>
    <w:rsid w:val="006E0C2B"/>
    <w:rsid w:val="00824640"/>
    <w:rsid w:val="00846C78"/>
    <w:rsid w:val="008C70E8"/>
    <w:rsid w:val="009812B6"/>
    <w:rsid w:val="0098606B"/>
    <w:rsid w:val="00A14679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~WRL3852.tmp</Template>
  <TotalTime>2</TotalTime>
  <Pages>4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3</cp:revision>
  <cp:lastPrinted>2023-04-14T12:16:00Z</cp:lastPrinted>
  <dcterms:created xsi:type="dcterms:W3CDTF">2026-02-06T08:39:00Z</dcterms:created>
  <dcterms:modified xsi:type="dcterms:W3CDTF">2026-02-06T08:39:00Z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