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7F3E95" w14:paraId="1949857B" w14:textId="77777777" w:rsidTr="00AE529A">
        <w:tc>
          <w:tcPr>
            <w:tcW w:w="8290" w:type="dxa"/>
          </w:tcPr>
          <w:p w14:paraId="7B5C26CD" w14:textId="1E7E60A6" w:rsidR="006E0C2B" w:rsidRPr="007F3E95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013DA6D" w14:textId="77777777" w:rsidR="006E0C2B" w:rsidRPr="006E0C2B" w:rsidRDefault="006E0C2B" w:rsidP="006E0C2B">
      <w:pPr>
        <w:pStyle w:val="Corps"/>
        <w:pBdr>
          <w:top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4AF6BED" w14:textId="77777777" w:rsidR="006E0C2B" w:rsidRPr="006E0C2B" w:rsidRDefault="006E0C2B" w:rsidP="006E0C2B">
      <w:pPr>
        <w:rPr>
          <w:rFonts w:asciiTheme="majorHAnsi" w:eastAsia="Arial" w:hAnsiTheme="majorHAnsi" w:cstheme="majorHAnsi"/>
          <w:iCs/>
          <w:lang w:val="fr-BE"/>
        </w:rPr>
      </w:pPr>
      <w:r w:rsidRPr="006E0C2B">
        <w:rPr>
          <w:rFonts w:asciiTheme="majorHAnsi" w:hAnsiTheme="majorHAnsi" w:cstheme="majorHAnsi"/>
          <w:noProof/>
          <w:lang w:val="fr-BE"/>
        </w:rPr>
        <w:drawing>
          <wp:inline distT="0" distB="0" distL="0" distR="0" wp14:anchorId="15B72799" wp14:editId="2E76DA38">
            <wp:extent cx="333375" cy="333375"/>
            <wp:effectExtent l="0" t="0" r="0" b="9525"/>
            <wp:docPr id="28" name="Graphic 28" descr="Controlelij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hecklist_ltr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C2B">
        <w:rPr>
          <w:rFonts w:asciiTheme="majorHAnsi" w:eastAsia="Arial" w:hAnsiTheme="majorHAnsi" w:cstheme="majorHAnsi"/>
          <w:b/>
          <w:bCs/>
          <w:iCs/>
          <w:lang w:val="fr-BE"/>
        </w:rPr>
        <w:t xml:space="preserve">Cliquez sur les mots en bleu pour avoir </w:t>
      </w:r>
      <w:r w:rsidRPr="006E0C2B">
        <w:rPr>
          <w:rFonts w:asciiTheme="majorHAnsi" w:hAnsiTheme="majorHAnsi" w:cstheme="majorHAnsi"/>
          <w:b/>
          <w:bCs/>
          <w:lang w:val="fr-BE"/>
        </w:rPr>
        <w:t>la définition</w:t>
      </w:r>
      <w:r w:rsidRPr="006E0C2B">
        <w:rPr>
          <w:rFonts w:asciiTheme="majorHAnsi" w:eastAsia="Arial" w:hAnsiTheme="majorHAnsi" w:cstheme="majorHAnsi"/>
          <w:b/>
          <w:bCs/>
          <w:iCs/>
          <w:lang w:val="fr-BE"/>
        </w:rPr>
        <w:t>.</w:t>
      </w: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3D79D470" w14:textId="77777777" w:rsidR="00A73A6A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L’(es) offrant(s) </w:t>
      </w:r>
      <w:r w:rsidRPr="006E0C2B">
        <w:rPr>
          <w:rFonts w:asciiTheme="majorHAnsi" w:hAnsiTheme="majorHAnsi" w:cstheme="majorHAnsi"/>
          <w:color w:val="auto"/>
          <w:lang w:val="fr-BE"/>
        </w:rPr>
        <w:t>est</w:t>
      </w:r>
    </w:p>
    <w:p w14:paraId="3A285CBA" w14:textId="77777777" w:rsidR="00A73A6A" w:rsidRDefault="00A73A6A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4CF90312" w14:textId="397A2EA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color w:val="auto"/>
          <w:lang w:val="fr-BE"/>
        </w:rPr>
        <w:t>Ci-dessous appelé(s) « l’offrant ».</w:t>
      </w:r>
    </w:p>
    <w:p w14:paraId="07F7B7EA" w14:textId="77777777" w:rsidR="006E0C2B" w:rsidRPr="006E0C2B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BE"/>
        </w:rPr>
      </w:pPr>
    </w:p>
    <w:p w14:paraId="45572E7A" w14:textId="15F98F55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€</w:t>
      </w:r>
      <w:r w:rsidR="00041F68">
        <w:rPr>
          <w:rFonts w:asciiTheme="majorHAnsi" w:hAnsiTheme="majorHAnsi" w:cstheme="majorHAnsi"/>
          <w:b/>
          <w:bCs/>
          <w:lang w:val="fr-BE"/>
        </w:rPr>
        <w:t xml:space="preserve"> </w:t>
      </w:r>
      <w:r w:rsidRPr="006E0C2B">
        <w:rPr>
          <w:rFonts w:asciiTheme="majorHAnsi" w:hAnsiTheme="majorHAnsi" w:cstheme="majorHAnsi"/>
          <w:color w:val="FF0000"/>
          <w:lang w:val="fr-BE"/>
        </w:rPr>
        <w:t>(en chiffres)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, </w:t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euros </w:t>
      </w:r>
      <w:r w:rsidRPr="006E0C2B">
        <w:rPr>
          <w:rFonts w:asciiTheme="majorHAnsi" w:hAnsiTheme="majorHAnsi" w:cstheme="majorHAnsi"/>
          <w:color w:val="FF0000"/>
          <w:lang w:val="fr-BE"/>
        </w:rPr>
        <w:t>(en toutes lettres)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C08FD92" w14:textId="77777777" w:rsidR="0006024F" w:rsidRPr="004A3210" w:rsidRDefault="0006024F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4A3210">
        <w:rPr>
          <w:rFonts w:asciiTheme="majorHAnsi" w:hAnsiTheme="majorHAnsi" w:cstheme="majorHAnsi"/>
          <w:b/>
          <w:bCs/>
          <w:u w:val="single"/>
          <w:lang w:val="fr-BE"/>
        </w:rPr>
        <w:t>COMMUNE D' ECAUSSINNES 1° division Ecaussinnes-d'Enghien</w:t>
      </w:r>
      <w:r w:rsidRPr="004A3210">
        <w:rPr>
          <w:rFonts w:asciiTheme="majorHAnsi" w:hAnsiTheme="majorHAnsi" w:cstheme="majorHAnsi"/>
          <w:lang w:val="fr-BE"/>
        </w:rPr>
        <w:t xml:space="preserve"> </w:t>
      </w:r>
    </w:p>
    <w:p w14:paraId="43FB0E2C" w14:textId="3621DC30" w:rsidR="006E0C2B" w:rsidRDefault="0006024F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4A3210">
        <w:rPr>
          <w:rFonts w:asciiTheme="majorHAnsi" w:hAnsiTheme="majorHAnsi" w:cstheme="majorHAnsi"/>
          <w:lang w:val="fr-BE"/>
        </w:rPr>
        <w:t>Une maison d'habitation, sise Rue de L'</w:t>
      </w:r>
      <w:proofErr w:type="spellStart"/>
      <w:r w:rsidRPr="004A3210">
        <w:rPr>
          <w:rFonts w:asciiTheme="majorHAnsi" w:hAnsiTheme="majorHAnsi" w:cstheme="majorHAnsi"/>
          <w:lang w:val="fr-BE"/>
        </w:rPr>
        <w:t>Avedelle</w:t>
      </w:r>
      <w:proofErr w:type="spellEnd"/>
      <w:r w:rsidRPr="004A3210">
        <w:rPr>
          <w:rFonts w:asciiTheme="majorHAnsi" w:hAnsiTheme="majorHAnsi" w:cstheme="majorHAnsi"/>
          <w:lang w:val="fr-BE"/>
        </w:rPr>
        <w:t xml:space="preserve"> 25, cadastrée section D, numéro(s) 84Y3 P0000, pour une superficie de trois ares (3a).</w:t>
      </w:r>
    </w:p>
    <w:p w14:paraId="7EA01CC4" w14:textId="77777777" w:rsidR="004A3210" w:rsidRPr="004A3210" w:rsidRDefault="004A3210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23368D61" w14:textId="5F06FA1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L’offre est valable jusqu'au </w:t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inclus à </w:t>
      </w:r>
      <w:r w:rsidR="00041F68">
        <w:rPr>
          <w:rFonts w:asciiTheme="majorHAnsi" w:hAnsiTheme="majorHAnsi" w:cstheme="majorHAnsi"/>
          <w:b/>
          <w:bCs/>
          <w:color w:val="FF0000"/>
          <w:lang w:val="fr-BE"/>
        </w:rPr>
        <w:tab/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heure(s)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7EDA842D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200D9D33" w14:textId="7D0B0B1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L'offre signée par l’offrant sera transmise au vendeur par </w:t>
      </w:r>
      <w:r w:rsidRPr="006E0C2B">
        <w:rPr>
          <w:rFonts w:asciiTheme="majorHAnsi" w:hAnsiTheme="majorHAnsi" w:cstheme="majorHAnsi"/>
          <w:color w:val="auto"/>
          <w:lang w:val="fr-BE"/>
        </w:rPr>
        <w:t>l’agence immobilière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20BE6A59" w14:textId="112D5BB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vendeur, par l’intermédiaire de </w:t>
      </w:r>
      <w:r w:rsidRPr="006E0C2B">
        <w:rPr>
          <w:rFonts w:asciiTheme="majorHAnsi" w:hAnsiTheme="majorHAnsi" w:cstheme="majorHAnsi"/>
          <w:color w:val="auto"/>
          <w:lang w:val="fr-BE"/>
        </w:rPr>
        <w:t>l’agence immobilière,</w:t>
      </w:r>
      <w:r w:rsidR="00A73A6A">
        <w:rPr>
          <w:rFonts w:asciiTheme="majorHAnsi" w:hAnsiTheme="majorHAnsi" w:cstheme="majorHAnsi"/>
          <w:b/>
          <w:bCs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lang w:val="fr-BE"/>
        </w:rPr>
        <w:t>avertira par écrit l’offrant de son acceptation de l’offre dans le délai de validité repris ci-dessus au point 1.</w:t>
      </w:r>
    </w:p>
    <w:p w14:paraId="4402AB0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3568FFF1" w14:textId="0D6C41EE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b/>
          <w:bCs/>
          <w:lang w:val="fr-BE"/>
        </w:rPr>
        <w:lastRenderedPageBreak/>
        <w:sym w:font="Symbol" w:char="F021"/>
      </w:r>
      <w:r w:rsidRPr="006E0C2B">
        <w:rPr>
          <w:rFonts w:asciiTheme="majorHAnsi" w:hAnsiTheme="majorHAnsi" w:cstheme="majorHAnsi"/>
          <w:lang w:val="fr-BE"/>
        </w:rPr>
        <w:t xml:space="preserve"> La vente </w:t>
      </w:r>
      <w:r w:rsidRPr="006E0C2B">
        <w:rPr>
          <w:rFonts w:asciiTheme="majorHAnsi" w:hAnsiTheme="majorHAnsi" w:cstheme="majorHAnsi"/>
          <w:b/>
          <w:bCs/>
          <w:lang w:val="fr-BE"/>
        </w:rPr>
        <w:t>sera conclue et définitive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dès que l’acceptation de cette offre aura été communiquée à l’offrant dans les conditions reprises ci-dessus aux points 1 et 2</w:t>
      </w:r>
      <w:r w:rsidR="00A73A6A">
        <w:rPr>
          <w:rFonts w:asciiTheme="majorHAnsi" w:hAnsiTheme="majorHAnsi" w:cstheme="majorHAnsi"/>
          <w:lang w:val="fr-BE"/>
        </w:rPr>
        <w:t xml:space="preserve"> et sous réserve de l’examen des conditions substantielles de la vente par le notaire de l’acquéreur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2853DDE6" w14:textId="77777777" w:rsidR="00092918" w:rsidRDefault="00092918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2A61777" w14:textId="6DC66C39" w:rsidR="00EF0BD6" w:rsidRPr="006D7CE9" w:rsidRDefault="00EF0BD6" w:rsidP="00EF0BD6">
      <w:pPr>
        <w:rPr>
          <w:rFonts w:asciiTheme="majorHAnsi" w:hAnsiTheme="majorHAnsi" w:cstheme="majorHAnsi"/>
          <w:lang w:val="fr-BE"/>
        </w:rPr>
      </w:pPr>
      <w:r w:rsidRPr="006D7CE9">
        <w:rPr>
          <w:rFonts w:asciiTheme="majorHAnsi" w:hAnsiTheme="majorHAnsi" w:cstheme="majorHAnsi"/>
          <w:b/>
          <w:bCs/>
          <w:lang w:val="fr-BE"/>
        </w:rPr>
        <w:sym w:font="Symbol" w:char="F021"/>
      </w:r>
      <w:r w:rsidRPr="006D7CE9">
        <w:rPr>
          <w:rFonts w:asciiTheme="majorHAnsi" w:hAnsiTheme="majorHAnsi" w:cstheme="majorHAnsi"/>
          <w:b/>
          <w:bCs/>
          <w:lang w:val="fr-BE"/>
        </w:rPr>
        <w:t xml:space="preserve"> </w:t>
      </w:r>
      <w:r w:rsidRPr="006D7CE9">
        <w:rPr>
          <w:rFonts w:asciiTheme="majorHAnsi" w:hAnsiTheme="majorHAnsi" w:cstheme="majorHAnsi"/>
          <w:lang w:val="fr-BE"/>
        </w:rPr>
        <w:t xml:space="preserve">Si </w:t>
      </w:r>
      <w:r w:rsidR="00516542" w:rsidRPr="006D7CE9">
        <w:rPr>
          <w:rFonts w:asciiTheme="majorHAnsi" w:hAnsiTheme="majorHAnsi" w:cstheme="majorHAnsi"/>
          <w:lang w:val="fr-BE"/>
        </w:rPr>
        <w:t>la vente est définitive et qu’</w:t>
      </w:r>
      <w:r w:rsidRPr="006D7CE9">
        <w:rPr>
          <w:rFonts w:asciiTheme="majorHAnsi" w:hAnsiTheme="majorHAnsi" w:cstheme="majorHAnsi"/>
          <w:lang w:val="fr-BE"/>
        </w:rPr>
        <w:t xml:space="preserve">un des signataires ne respecte pas ses obligations, l’autre doit lui envoyer une </w:t>
      </w:r>
      <w:hyperlink r:id="rId12" w:history="1">
        <w:r w:rsidRPr="006D7CE9">
          <w:rPr>
            <w:rStyle w:val="Lienhypertexte"/>
            <w:rFonts w:asciiTheme="majorHAnsi" w:eastAsia="Times New Roman" w:hAnsiTheme="majorHAnsi" w:cstheme="majorHAnsi"/>
            <w:lang w:val="fr-BE"/>
          </w:rPr>
          <w:t>mise en demeure</w:t>
        </w:r>
      </w:hyperlink>
      <w:r w:rsidRPr="006D7CE9">
        <w:rPr>
          <w:rFonts w:asciiTheme="majorHAnsi" w:hAnsiTheme="majorHAnsi" w:cstheme="majorHAnsi"/>
          <w:lang w:val="fr-BE"/>
        </w:rPr>
        <w:t xml:space="preserve"> dans laquelle il lui demande d’exécuter son obligation. Si le signataire qui a reçu la mise en demeure n'exécute pas ses obligations dans les 15 jours, l'autre signataire peut alors :</w:t>
      </w:r>
    </w:p>
    <w:p w14:paraId="08DEE668" w14:textId="77777777" w:rsidR="00EF0BD6" w:rsidRPr="006D7CE9" w:rsidRDefault="00EF0BD6" w:rsidP="00EF0BD6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 xml:space="preserve">soit </w:t>
      </w:r>
      <w:r w:rsidRPr="006D7CE9">
        <w:rPr>
          <w:rFonts w:asciiTheme="majorHAnsi" w:eastAsia="Times New Roman" w:hAnsiTheme="majorHAnsi" w:cstheme="majorHAnsi"/>
          <w:b/>
          <w:bCs/>
          <w:lang w:val="fr-BE"/>
        </w:rPr>
        <w:t>poursuivre l’exécution forcée</w:t>
      </w:r>
      <w:r w:rsidRPr="006D7CE9">
        <w:rPr>
          <w:rFonts w:asciiTheme="majorHAnsi" w:eastAsia="Times New Roman" w:hAnsiTheme="majorHAnsi" w:cstheme="majorHAnsi"/>
          <w:lang w:val="fr-BE"/>
        </w:rPr>
        <w:t xml:space="preserve"> (c’est-à-dire s’adresser au juge afin qu’il condamne le signataire en défaut à respecter ses obligations) ;</w:t>
      </w:r>
    </w:p>
    <w:p w14:paraId="6A39E3C5" w14:textId="77777777" w:rsidR="00EF0BD6" w:rsidRPr="006D7CE9" w:rsidRDefault="00EF0BD6" w:rsidP="00EF0BD6">
      <w:pPr>
        <w:pStyle w:val="Paragraphedeliste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 xml:space="preserve">soit </w:t>
      </w:r>
      <w:r w:rsidRPr="006D7CE9">
        <w:rPr>
          <w:rFonts w:asciiTheme="majorHAnsi" w:eastAsia="Times New Roman" w:hAnsiTheme="majorHAnsi" w:cstheme="majorHAnsi"/>
          <w:b/>
          <w:bCs/>
          <w:lang w:val="fr-BE"/>
        </w:rPr>
        <w:t xml:space="preserve">considérer que la vente a pris fin </w:t>
      </w:r>
      <w:r w:rsidRPr="006D7CE9">
        <w:rPr>
          <w:rFonts w:asciiTheme="majorHAnsi" w:eastAsia="Times New Roman" w:hAnsiTheme="majorHAnsi" w:cstheme="majorHAnsi"/>
          <w:lang w:val="fr-BE"/>
        </w:rPr>
        <w:t>(résolution de la vente) sans intervention préalable du juge. Le signataire qui opte pour cette sanction doit en informer par écrit l’autre signataire en indiquant expressément qu’il fait appel à cette possibilité et les obligations qui n’ont pas été respectées.</w:t>
      </w:r>
    </w:p>
    <w:p w14:paraId="49E3DB0D" w14:textId="77777777" w:rsidR="00EF0BD6" w:rsidRPr="006D7CE9" w:rsidRDefault="00EF0BD6" w:rsidP="00EF0BD6">
      <w:pPr>
        <w:pStyle w:val="Paragraphedeliste"/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>Le signataire qui n’a pas exécuté ses obligations doit payer à l’autre signataire :</w:t>
      </w:r>
    </w:p>
    <w:p w14:paraId="45575D6F" w14:textId="04B5F8C2" w:rsidR="00EF0BD6" w:rsidRPr="006D7CE9" w:rsidRDefault="00EF0BD6" w:rsidP="00EF0BD6">
      <w:pPr>
        <w:pStyle w:val="Paragraphedelist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 xml:space="preserve">une indemnité fixée forfaitairement à 10% du prix de vente </w:t>
      </w:r>
      <w:r w:rsidRPr="006D7CE9">
        <w:rPr>
          <w:rFonts w:asciiTheme="majorHAnsi" w:eastAsia="Times New Roman" w:hAnsiTheme="majorHAnsi" w:cstheme="majorHAnsi"/>
          <w:b/>
          <w:lang w:val="fr-BE"/>
        </w:rPr>
        <w:t>et</w:t>
      </w:r>
    </w:p>
    <w:p w14:paraId="43A851C0" w14:textId="77777777" w:rsidR="00EF0BD6" w:rsidRPr="006D7CE9" w:rsidRDefault="00EF0BD6" w:rsidP="00EF0BD6">
      <w:pPr>
        <w:pStyle w:val="Paragraphedeliste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>les éventuels droits d’enregistrement ou autres frais liés à la vente.</w:t>
      </w:r>
    </w:p>
    <w:p w14:paraId="2B551834" w14:textId="77777777" w:rsidR="00EF0BD6" w:rsidRPr="006D7CE9" w:rsidRDefault="00EF0BD6" w:rsidP="00EF0BD6">
      <w:pPr>
        <w:pStyle w:val="Paragraphedeliste"/>
        <w:rPr>
          <w:rFonts w:asciiTheme="majorHAnsi" w:eastAsia="Times New Roman" w:hAnsiTheme="majorHAnsi" w:cstheme="majorHAnsi"/>
          <w:lang w:val="fr-BE"/>
        </w:rPr>
      </w:pPr>
    </w:p>
    <w:p w14:paraId="7A8E5A7B" w14:textId="77777777" w:rsidR="00EF0BD6" w:rsidRPr="006D7CE9" w:rsidRDefault="00EF0BD6" w:rsidP="00EF0BD6">
      <w:pPr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 xml:space="preserve">Attention : la </w:t>
      </w:r>
      <w:r w:rsidRPr="006D7CE9">
        <w:rPr>
          <w:rFonts w:asciiTheme="majorHAnsi" w:hAnsiTheme="majorHAnsi" w:cstheme="majorHAnsi"/>
          <w:lang w:val="fr-BE"/>
        </w:rPr>
        <w:t xml:space="preserve">résolution </w:t>
      </w:r>
      <w:r w:rsidRPr="006D7CE9">
        <w:rPr>
          <w:rFonts w:asciiTheme="majorHAnsi" w:eastAsia="Times New Roman" w:hAnsiTheme="majorHAnsi" w:cstheme="majorHAnsi"/>
          <w:lang w:val="fr-BE"/>
        </w:rPr>
        <w:t>de la vente a des conséquences fiscales. Les signataires peuvent éviter ces conséquences s’ils mettent fin à la vente de commun accord en raison du non-respect par l’un d’eux, de ses obligations.</w:t>
      </w:r>
    </w:p>
    <w:p w14:paraId="7506CC62" w14:textId="04DFA1C7" w:rsidR="00092918" w:rsidRPr="00424F4F" w:rsidRDefault="00EF0BD6" w:rsidP="00424F4F">
      <w:pPr>
        <w:rPr>
          <w:rFonts w:asciiTheme="majorHAnsi" w:eastAsia="Times New Roman" w:hAnsiTheme="majorHAnsi" w:cstheme="majorHAnsi"/>
          <w:lang w:val="fr-BE"/>
        </w:rPr>
      </w:pPr>
      <w:r w:rsidRPr="006D7CE9">
        <w:rPr>
          <w:rFonts w:asciiTheme="majorHAnsi" w:eastAsia="Times New Roman" w:hAnsiTheme="majorHAnsi" w:cstheme="majorHAnsi"/>
          <w:lang w:val="fr-BE"/>
        </w:rPr>
        <w:t>Dans ce cas, les signataires doivent présenter à l’enregistrement cet accord qui sera enregistré au droit fixe de 2 x 10 EUR.</w:t>
      </w:r>
    </w:p>
    <w:p w14:paraId="182FA1C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376C3AA5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Si l’offre est acceptée par le vendeur, l’offrant et le vendeur s'engagent à signer 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="00041F68">
        <w:rPr>
          <w:rFonts w:asciiTheme="majorHAnsi" w:hAnsiTheme="majorHAnsi" w:cstheme="majorHAnsi"/>
          <w:b/>
          <w:bCs/>
          <w:lang w:val="fr-BE"/>
        </w:rPr>
        <w:t>30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79E3506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3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garantie</w:t>
        </w:r>
      </w:hyperlink>
      <w:r w:rsidRPr="006E0C2B">
        <w:rPr>
          <w:rFonts w:asciiTheme="majorHAnsi" w:hAnsiTheme="majorHAnsi" w:cstheme="majorHAnsi"/>
          <w:lang w:val="fr-BE"/>
        </w:rPr>
        <w:t xml:space="preserve"> de </w:t>
      </w:r>
      <w:r w:rsidR="00DC3FD1">
        <w:rPr>
          <w:rFonts w:asciiTheme="majorHAnsi" w:hAnsiTheme="majorHAnsi" w:cstheme="majorHAnsi"/>
          <w:color w:val="FF0000"/>
          <w:lang w:val="fr-BE"/>
        </w:rPr>
        <w:tab/>
      </w:r>
      <w:r w:rsidR="00DC3FD1">
        <w:rPr>
          <w:rFonts w:asciiTheme="majorHAnsi" w:hAnsiTheme="majorHAnsi" w:cstheme="majorHAnsi"/>
          <w:color w:val="FF0000"/>
          <w:lang w:val="fr-BE"/>
        </w:rPr>
        <w:tab/>
      </w:r>
      <w:r w:rsidR="00DC3FD1">
        <w:rPr>
          <w:rFonts w:asciiTheme="majorHAnsi" w:hAnsiTheme="majorHAnsi" w:cstheme="majorHAnsi"/>
          <w:color w:val="FF0000"/>
          <w:lang w:val="fr-BE"/>
        </w:rPr>
        <w:tab/>
      </w:r>
      <w:r w:rsidR="00DC3FD1">
        <w:rPr>
          <w:rFonts w:asciiTheme="majorHAnsi" w:hAnsiTheme="majorHAnsi" w:cstheme="majorHAnsi"/>
          <w:color w:val="FF0000"/>
          <w:lang w:val="fr-BE"/>
        </w:rPr>
        <w:tab/>
      </w:r>
      <w:r w:rsidRPr="006E0C2B">
        <w:rPr>
          <w:rFonts w:asciiTheme="majorHAnsi" w:hAnsiTheme="majorHAnsi" w:cstheme="majorHAnsi"/>
          <w:lang w:val="fr-BE"/>
        </w:rPr>
        <w:t xml:space="preserve"> EUR.</w:t>
      </w:r>
    </w:p>
    <w:p w14:paraId="34E4AB61" w14:textId="0138F77C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4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garantie</w:t>
        </w:r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5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consignée</w:t>
        </w:r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4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A73A6A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jour de la signature de l’acte, la </w:t>
      </w:r>
      <w:hyperlink r:id="rId16" w:history="1">
        <w:r w:rsidRPr="006E0C2B">
          <w:rPr>
            <w:rStyle w:val="Lienhypertexte"/>
            <w:rFonts w:asciiTheme="majorHAnsi" w:hAnsiTheme="majorHAnsi" w:cstheme="majorHAnsi"/>
            <w:color w:val="4472C4" w:themeColor="accent1"/>
            <w:u w:val="none"/>
            <w:lang w:val="fr-BE"/>
          </w:rPr>
          <w:t>garantie</w:t>
        </w:r>
      </w:hyperlink>
      <w:r w:rsidRPr="006E0C2B">
        <w:rPr>
          <w:rFonts w:asciiTheme="majorHAnsi" w:hAnsiTheme="majorHAnsi" w:cstheme="majorHAnsi"/>
          <w:lang w:val="fr-BE"/>
        </w:rPr>
        <w:t xml:space="preserve"> vaudra acompte sur le prix de vente.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8B54A4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8B54A4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8B54A4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8B54A4">
        <w:rPr>
          <w:rFonts w:asciiTheme="majorHAnsi" w:hAnsiTheme="majorHAnsi" w:cstheme="majorHAnsi"/>
          <w:lang w:val="fr-BE"/>
        </w:rPr>
        <w:t xml:space="preserve">les </w:t>
      </w:r>
      <w:hyperlink r:id="rId17" w:history="1">
        <w:r w:rsidRPr="008B54A4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droits d’enregistrement</w:t>
        </w:r>
      </w:hyperlink>
      <w:r w:rsidRPr="008B54A4">
        <w:rPr>
          <w:rFonts w:asciiTheme="majorHAnsi" w:hAnsiTheme="majorHAnsi" w:cstheme="majorHAnsi"/>
          <w:lang w:val="fr-BE"/>
        </w:rPr>
        <w:t> ;</w:t>
      </w:r>
    </w:p>
    <w:p w14:paraId="2050EFF7" w14:textId="28F9ED94" w:rsidR="00C55591" w:rsidRPr="00D223D3" w:rsidRDefault="00C55591" w:rsidP="00C55591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t xml:space="preserve">les </w:t>
      </w:r>
      <w:hyperlink r:id="rId18" w:history="1">
        <w:r w:rsidRPr="00D223D3">
          <w:rPr>
            <w:rStyle w:val="Lienhypertexte"/>
            <w:rFonts w:asciiTheme="majorHAnsi" w:eastAsia="Times New Roman" w:hAnsiTheme="majorHAnsi" w:cstheme="majorHAnsi"/>
            <w:color w:val="4472C4" w:themeColor="accent1"/>
            <w:u w:val="none"/>
            <w:lang w:val="fr-BE"/>
          </w:rPr>
          <w:t>débours</w:t>
        </w:r>
        <w:r w:rsidRPr="00D223D3">
          <w:rPr>
            <w:rStyle w:val="Lienhypertexte"/>
            <w:rFonts w:asciiTheme="majorHAnsi" w:eastAsia="Times New Roman" w:hAnsiTheme="majorHAnsi" w:cstheme="majorHAnsi"/>
            <w:u w:val="none"/>
            <w:lang w:val="fr-BE"/>
          </w:rPr>
          <w:t> </w:t>
        </w:r>
      </w:hyperlink>
      <w:r w:rsidRPr="00D223D3">
        <w:rPr>
          <w:rFonts w:asciiTheme="majorHAnsi" w:hAnsiTheme="majorHAnsi" w:cstheme="majorHAnsi"/>
          <w:lang w:val="fr-BE"/>
        </w:rPr>
        <w:t>;</w:t>
      </w:r>
    </w:p>
    <w:p w14:paraId="5C1296A5" w14:textId="77777777" w:rsidR="00C55591" w:rsidRPr="00D223D3" w:rsidRDefault="00C55591" w:rsidP="00C55591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t>le forfait légal :</w:t>
      </w:r>
    </w:p>
    <w:p w14:paraId="502A0F75" w14:textId="77777777" w:rsidR="00C55591" w:rsidRPr="00D223D3" w:rsidRDefault="00C55591" w:rsidP="00C55591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lastRenderedPageBreak/>
        <w:t>les honoraires ;</w:t>
      </w:r>
    </w:p>
    <w:p w14:paraId="789FDB56" w14:textId="6F12487F" w:rsidR="00C55591" w:rsidRPr="00D223D3" w:rsidRDefault="00C55591" w:rsidP="00C55591">
      <w:pPr>
        <w:pStyle w:val="Paragraphedeliste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t xml:space="preserve">la TVA sur les </w:t>
      </w:r>
      <w:hyperlink r:id="rId19" w:history="1">
        <w:r w:rsidRPr="00D223D3">
          <w:rPr>
            <w:rStyle w:val="Lienhypertexte"/>
            <w:rFonts w:asciiTheme="majorHAnsi" w:hAnsiTheme="majorHAnsi" w:cstheme="majorHAnsi"/>
            <w:color w:val="4472C4" w:themeColor="accent1"/>
            <w:u w:val="none"/>
            <w:lang w:val="fr-BE"/>
          </w:rPr>
          <w:t>débours</w:t>
        </w:r>
      </w:hyperlink>
      <w:r w:rsidRPr="00D223D3">
        <w:rPr>
          <w:rFonts w:asciiTheme="majorHAnsi" w:hAnsiTheme="majorHAnsi" w:cstheme="majorHAnsi"/>
          <w:lang w:val="fr-BE"/>
        </w:rPr>
        <w:t>, le forfait légal et sur les honoraires.</w:t>
      </w:r>
    </w:p>
    <w:p w14:paraId="158EBF63" w14:textId="77777777" w:rsidR="00C55591" w:rsidRPr="00D223D3" w:rsidRDefault="00C55591" w:rsidP="008B54A4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536929BF" w14:textId="1F337EA8" w:rsidR="006E0C2B" w:rsidRPr="00D223D3" w:rsidRDefault="006E0C2B" w:rsidP="00C55591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sur </w:t>
      </w:r>
      <w:hyperlink r:id="rId20" w:history="1">
        <w:r w:rsidRPr="00D223D3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notaire.be</w:t>
        </w:r>
      </w:hyperlink>
      <w:r w:rsidRPr="00D223D3">
        <w:rPr>
          <w:rFonts w:asciiTheme="majorHAnsi" w:hAnsiTheme="majorHAnsi" w:cstheme="majorHAnsi"/>
          <w:lang w:val="fr-BE"/>
        </w:rPr>
        <w:t>.</w:t>
      </w:r>
    </w:p>
    <w:p w14:paraId="04736486" w14:textId="77777777" w:rsidR="006E0C2B" w:rsidRPr="00D223D3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9E41DE1" w14:textId="017B0CE5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D223D3">
        <w:rPr>
          <w:rFonts w:asciiTheme="majorHAnsi" w:hAnsiTheme="majorHAnsi" w:cstheme="majorHAnsi"/>
          <w:lang w:val="fr-BE"/>
        </w:rPr>
        <w:t xml:space="preserve">Si l’offrant doit obtenir un </w:t>
      </w:r>
      <w:r w:rsidR="002E7460" w:rsidRPr="00D223D3">
        <w:rPr>
          <w:rFonts w:asciiTheme="majorHAnsi" w:hAnsiTheme="majorHAnsi" w:cstheme="majorHAnsi"/>
          <w:lang w:val="fr-BE"/>
        </w:rPr>
        <w:t>crédit</w:t>
      </w:r>
      <w:r w:rsidRPr="00D223D3">
        <w:rPr>
          <w:rFonts w:asciiTheme="majorHAnsi" w:hAnsiTheme="majorHAnsi" w:cstheme="majorHAnsi"/>
          <w:lang w:val="fr-BE"/>
        </w:rPr>
        <w:t xml:space="preserve"> pour l’achat du bien, il paiera aussi les frais de ce </w:t>
      </w:r>
      <w:r w:rsidR="002E7460" w:rsidRPr="00D223D3">
        <w:rPr>
          <w:rFonts w:asciiTheme="majorHAnsi" w:hAnsiTheme="majorHAnsi" w:cstheme="majorHAnsi"/>
          <w:lang w:val="fr-BE"/>
        </w:rPr>
        <w:t>crédit</w:t>
      </w:r>
      <w:r w:rsidRPr="00D223D3">
        <w:rPr>
          <w:rFonts w:asciiTheme="majorHAnsi" w:hAnsiTheme="majorHAnsi" w:cstheme="majorHAnsi"/>
          <w:lang w:val="fr-BE"/>
        </w:rPr>
        <w:t>.</w:t>
      </w:r>
    </w:p>
    <w:p w14:paraId="1F5B193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3C56BCD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 paie les frais nécessaires pour transférer et délivrer le bien.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77AF3323" w14:textId="6781A948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Si l’offre est acceptée, le compromis de vente devra contenir une </w:t>
      </w:r>
      <w:hyperlink r:id="rId21" w:history="1">
        <w:r w:rsidRPr="006E0C2B">
          <w:rPr>
            <w:rStyle w:val="Lienhypertexte"/>
            <w:rFonts w:asciiTheme="majorHAnsi" w:eastAsia="Times New Roman" w:hAnsiTheme="majorHAnsi" w:cstheme="majorHAnsi"/>
            <w:color w:val="2E74B5" w:themeColor="accent5" w:themeShade="BF"/>
            <w:u w:val="none"/>
            <w:lang w:val="fr-BE"/>
          </w:rPr>
          <w:t>condition suspensive</w:t>
        </w:r>
      </w:hyperlink>
      <w:r w:rsidRPr="006E0C2B">
        <w:rPr>
          <w:rFonts w:asciiTheme="majorHAnsi" w:eastAsia="Times New Roman" w:hAnsiTheme="majorHAnsi" w:cstheme="majorHAnsi"/>
          <w:lang w:val="fr-BE"/>
        </w:rPr>
        <w:t xml:space="preserve"> d’obtention d’un financement par l’offrant :</w:t>
      </w:r>
    </w:p>
    <w:p w14:paraId="1749CE63" w14:textId="7AA87124" w:rsidR="006E0C2B" w:rsidRPr="006E0C2B" w:rsidRDefault="006E0C2B" w:rsidP="006E0C2B">
      <w:pPr>
        <w:pStyle w:val="Corps"/>
        <w:numPr>
          <w:ilvl w:val="0"/>
          <w:numId w:val="5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d’un montant de </w:t>
      </w:r>
      <w:r w:rsidR="00DC3FD1">
        <w:rPr>
          <w:rFonts w:asciiTheme="majorHAnsi" w:eastAsia="Times New Roman" w:hAnsiTheme="majorHAnsi" w:cstheme="majorHAnsi"/>
          <w:color w:val="FF0000"/>
          <w:lang w:val="fr-BE"/>
        </w:rPr>
        <w:tab/>
      </w:r>
      <w:r w:rsidR="00DC3FD1">
        <w:rPr>
          <w:rFonts w:asciiTheme="majorHAnsi" w:eastAsia="Times New Roman" w:hAnsiTheme="majorHAnsi" w:cstheme="majorHAnsi"/>
          <w:color w:val="FF0000"/>
          <w:lang w:val="fr-BE"/>
        </w:rPr>
        <w:tab/>
      </w:r>
      <w:r w:rsidR="00DC3FD1">
        <w:rPr>
          <w:rFonts w:asciiTheme="majorHAnsi" w:eastAsia="Times New Roman" w:hAnsiTheme="majorHAnsi" w:cstheme="majorHAnsi"/>
          <w:color w:val="FF0000"/>
          <w:lang w:val="fr-BE"/>
        </w:rPr>
        <w:tab/>
      </w:r>
      <w:r w:rsidRPr="006E0C2B">
        <w:rPr>
          <w:rFonts w:asciiTheme="majorHAnsi" w:eastAsia="Times New Roman" w:hAnsiTheme="majorHAnsi" w:cstheme="majorHAnsi"/>
          <w:lang w:val="fr-BE"/>
        </w:rPr>
        <w:t xml:space="preserve"> EUR ;</w:t>
      </w:r>
    </w:p>
    <w:p w14:paraId="057F6B6F" w14:textId="77777777" w:rsidR="006E0C2B" w:rsidRPr="006E0C2B" w:rsidRDefault="006E0C2B" w:rsidP="006E0C2B">
      <w:pPr>
        <w:pStyle w:val="Corps"/>
        <w:numPr>
          <w:ilvl w:val="0"/>
          <w:numId w:val="5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au taux normal du marché ;</w:t>
      </w:r>
    </w:p>
    <w:p w14:paraId="04492F09" w14:textId="685FFEEA" w:rsidR="006E0C2B" w:rsidRPr="006E0C2B" w:rsidRDefault="006E0C2B" w:rsidP="006E0C2B">
      <w:pPr>
        <w:pStyle w:val="Corps"/>
        <w:numPr>
          <w:ilvl w:val="0"/>
          <w:numId w:val="5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dans un délai </w:t>
      </w:r>
      <w:r w:rsidRPr="00A73A6A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r w:rsidR="00A73A6A" w:rsidRPr="00A73A6A">
        <w:rPr>
          <w:rFonts w:asciiTheme="majorHAnsi" w:eastAsia="Times New Roman" w:hAnsiTheme="majorHAnsi" w:cstheme="majorHAnsi"/>
          <w:b/>
          <w:bCs/>
          <w:color w:val="auto"/>
          <w:lang w:val="fr-BE"/>
        </w:rPr>
        <w:t>4</w:t>
      </w:r>
      <w:r w:rsidRPr="00A73A6A">
        <w:rPr>
          <w:rFonts w:asciiTheme="majorHAnsi" w:eastAsia="Times New Roman" w:hAnsiTheme="majorHAnsi" w:cstheme="majorHAnsi"/>
          <w:b/>
          <w:bCs/>
          <w:color w:val="auto"/>
          <w:lang w:val="fr-BE"/>
        </w:rPr>
        <w:t xml:space="preserve"> s</w:t>
      </w:r>
      <w:r w:rsidRPr="006E0C2B">
        <w:rPr>
          <w:rFonts w:asciiTheme="majorHAnsi" w:eastAsia="Times New Roman" w:hAnsiTheme="majorHAnsi" w:cstheme="majorHAnsi"/>
          <w:b/>
          <w:bCs/>
          <w:lang w:val="fr-BE"/>
        </w:rPr>
        <w:t>emaines</w:t>
      </w:r>
      <w:r w:rsidRPr="006E0C2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7A0F813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4E161DB9" w14:textId="77777777" w:rsidR="006E0C2B" w:rsidRPr="006E0C2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l’acte.</w:t>
      </w:r>
    </w:p>
    <w:p w14:paraId="45695E43" w14:textId="744822C5" w:rsidR="006E0C2B" w:rsidRPr="006E0C2B" w:rsidRDefault="006E0C2B" w:rsidP="00A73A6A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Il est averti que le bien est libre d’occupation. L’offrant aura la </w:t>
      </w:r>
      <w:hyperlink r:id="rId22" w:history="1">
        <w:r w:rsidRPr="006E0C2B">
          <w:rPr>
            <w:rStyle w:val="Lienhypertexte"/>
            <w:rFonts w:asciiTheme="majorHAnsi" w:hAnsiTheme="majorHAnsi" w:cstheme="majorHAnsi"/>
            <w:u w:val="none"/>
            <w:lang w:val="fr-BE"/>
          </w:rPr>
          <w:t>jouissance</w:t>
        </w:r>
      </w:hyperlink>
      <w:r w:rsidRPr="006E0C2B">
        <w:rPr>
          <w:rFonts w:asciiTheme="majorHAnsi" w:hAnsiTheme="majorHAnsi" w:cstheme="majorHAnsi"/>
          <w:lang w:val="fr-BE"/>
        </w:rPr>
        <w:t xml:space="preserve"> du bien par la prise de possession réelle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propriété, </w:t>
      </w:r>
      <w:hyperlink r:id="rId23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hypothèque</w:t>
        </w:r>
      </w:hyperlink>
      <w:r w:rsidRPr="006E0C2B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24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privilège</w:t>
        </w:r>
      </w:hyperlink>
      <w:r w:rsidRPr="006E0C2B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visité le bien. Il est donc vendu dans son </w:t>
      </w:r>
      <w:r w:rsidRPr="006E0C2B">
        <w:rPr>
          <w:rFonts w:asciiTheme="majorHAnsi" w:hAnsiTheme="majorHAnsi" w:cstheme="majorHAnsi"/>
          <w:b/>
          <w:bCs/>
          <w:lang w:val="fr-BE"/>
        </w:rPr>
        <w:t>état actuel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06DA937A" w14:textId="1D40D785" w:rsidR="006E0C2B" w:rsidRPr="006E0C2B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lang w:val="fr-BE"/>
        </w:rPr>
      </w:pPr>
      <w:r w:rsidRPr="006D7CE9">
        <w:rPr>
          <w:rFonts w:asciiTheme="majorHAnsi" w:hAnsiTheme="majorHAnsi" w:cstheme="majorHAnsi"/>
          <w:lang w:val="fr-BE"/>
        </w:rPr>
        <w:t>L’offrant n’a aucun recours contre le vendeur,</w:t>
      </w:r>
      <w:r w:rsidR="004F044A" w:rsidRPr="006D7CE9">
        <w:rPr>
          <w:rFonts w:asciiTheme="minorHAnsi" w:eastAsia="Times New Roman" w:hAnsiTheme="minorHAnsi" w:cstheme="majorHAnsi"/>
          <w:color w:val="auto"/>
          <w:sz w:val="22"/>
          <w:szCs w:val="22"/>
          <w:bdr w:val="none" w:sz="0" w:space="0" w:color="auto"/>
          <w:lang w:val="fr-BE"/>
        </w:rPr>
        <w:t xml:space="preserve"> </w:t>
      </w:r>
      <w:r w:rsidR="004F044A" w:rsidRPr="006D7CE9">
        <w:rPr>
          <w:rFonts w:asciiTheme="majorHAnsi" w:hAnsiTheme="majorHAnsi" w:cstheme="majorHAnsi"/>
          <w:lang w:val="fr-BE"/>
        </w:rPr>
        <w:t xml:space="preserve">ni pour les </w:t>
      </w:r>
      <w:hyperlink r:id="rId25" w:history="1">
        <w:r w:rsidR="002B7E16" w:rsidRPr="006D7CE9">
          <w:rPr>
            <w:rStyle w:val="Lienhypertexte"/>
            <w:rFonts w:asciiTheme="majorHAnsi" w:eastAsia="Times New Roman" w:hAnsiTheme="majorHAnsi" w:cstheme="majorHAnsi"/>
            <w:color w:val="2E74B5" w:themeColor="accent5" w:themeShade="BF"/>
            <w:u w:val="none"/>
            <w:lang w:val="fr-BE"/>
          </w:rPr>
          <w:t>vices apparents</w:t>
        </w:r>
        <w:r w:rsidR="004F044A" w:rsidRPr="006D7CE9">
          <w:rPr>
            <w:rStyle w:val="Lienhypertexte"/>
            <w:rFonts w:asciiTheme="majorHAnsi" w:hAnsiTheme="majorHAnsi" w:cstheme="majorHAnsi"/>
            <w:u w:val="none"/>
            <w:lang w:val="fr-BE"/>
          </w:rPr>
          <w:t xml:space="preserve">, ni pour les </w:t>
        </w:r>
        <w:hyperlink r:id="rId26" w:history="1">
          <w:r w:rsidR="002228E1" w:rsidRPr="006D7CE9">
            <w:rPr>
              <w:rStyle w:val="Lienhypertexte"/>
              <w:rFonts w:asciiTheme="majorHAnsi" w:eastAsia="Times New Roman" w:hAnsiTheme="majorHAnsi" w:cstheme="majorHAnsi"/>
              <w:color w:val="2E74B5" w:themeColor="accent5" w:themeShade="BF"/>
              <w:u w:val="none"/>
              <w:lang w:val="fr-BE"/>
            </w:rPr>
            <w:t>vices non-apparents</w:t>
          </w:r>
        </w:hyperlink>
      </w:hyperlink>
      <w:r w:rsidR="004F044A" w:rsidRPr="006D7CE9">
        <w:rPr>
          <w:rFonts w:asciiTheme="majorHAnsi" w:hAnsiTheme="majorHAnsi" w:cstheme="majorHAnsi"/>
          <w:lang w:val="fr-BE"/>
        </w:rPr>
        <w:t>,</w:t>
      </w:r>
      <w:r w:rsidRPr="006D7CE9">
        <w:rPr>
          <w:rFonts w:asciiTheme="majorHAnsi" w:hAnsiTheme="majorHAnsi" w:cstheme="majorHAnsi"/>
          <w:lang w:val="fr-BE"/>
        </w:rPr>
        <w:t xml:space="preserve"> sauf s’il prouve que le vendeur avait connaissance du </w:t>
      </w:r>
      <w:hyperlink r:id="rId27" w:history="1">
        <w:r w:rsidRPr="006D7CE9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vice non-apparent</w:t>
        </w:r>
      </w:hyperlink>
      <w:r w:rsidRPr="006D7CE9">
        <w:rPr>
          <w:rFonts w:asciiTheme="majorHAnsi" w:hAnsiTheme="majorHAnsi" w:cstheme="majorHAnsi"/>
          <w:lang w:val="fr-BE"/>
        </w:rPr>
        <w:t xml:space="preserve"> et qu’il ne l’a pas déclaré.</w:t>
      </w:r>
    </w:p>
    <w:p w14:paraId="25A3820F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CC1419C" w14:textId="77777777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avec toutes ses </w:t>
      </w:r>
      <w:hyperlink r:id="rId28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mitoyennetés</w:t>
        </w:r>
      </w:hyperlink>
      <w:r w:rsidRPr="006E0C2B">
        <w:rPr>
          <w:rFonts w:asciiTheme="majorHAnsi" w:hAnsiTheme="majorHAnsi" w:cstheme="majorHAnsi"/>
          <w:lang w:val="fr-BE"/>
        </w:rPr>
        <w:t xml:space="preserve"> et toutes ses </w:t>
      </w:r>
      <w:hyperlink r:id="rId29" w:history="1">
        <w:r w:rsidRPr="006E0C2B">
          <w:rPr>
            <w:rStyle w:val="Lienhypertexte"/>
            <w:rFonts w:asciiTheme="majorHAnsi" w:hAnsiTheme="majorHAnsi" w:cstheme="majorHAnsi"/>
            <w:color w:val="2E74B5" w:themeColor="accent5" w:themeShade="BF"/>
            <w:u w:val="none"/>
            <w:lang w:val="fr-BE"/>
          </w:rPr>
          <w:t>servitudes</w:t>
        </w:r>
      </w:hyperlink>
      <w:r w:rsidRPr="006E0C2B">
        <w:rPr>
          <w:rFonts w:asciiTheme="majorHAnsi" w:hAnsiTheme="majorHAnsi" w:cstheme="majorHAnsi"/>
          <w:lang w:val="fr-BE"/>
        </w:rPr>
        <w:t>.</w:t>
      </w:r>
    </w:p>
    <w:p w14:paraId="6CFEAE13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0168F5C8" w14:textId="7077E2AC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superficie reprise dans la description du bien </w:t>
      </w:r>
      <w:r w:rsidRPr="006E0C2B">
        <w:rPr>
          <w:rFonts w:asciiTheme="majorHAnsi" w:hAnsiTheme="majorHAnsi" w:cstheme="majorHAnsi"/>
          <w:b/>
          <w:bCs/>
          <w:lang w:val="fr-BE"/>
        </w:rPr>
        <w:t>n'est pas garantie</w:t>
      </w:r>
      <w:r w:rsidRPr="006E0C2B">
        <w:rPr>
          <w:rFonts w:asciiTheme="majorHAnsi" w:hAnsiTheme="majorHAnsi" w:cstheme="majorHAnsi"/>
          <w:lang w:val="fr-BE"/>
        </w:rPr>
        <w:t xml:space="preserve"> par le vendeur</w:t>
      </w:r>
      <w:r w:rsidR="00DC3FD1">
        <w:rPr>
          <w:rFonts w:asciiTheme="majorHAnsi" w:hAnsiTheme="majorHAnsi" w:cstheme="majorHAnsi"/>
          <w:lang w:val="fr-BE"/>
        </w:rPr>
        <w:t>.</w:t>
      </w:r>
    </w:p>
    <w:p w14:paraId="32A9BC4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34A868E7" w14:textId="77777777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color w:val="auto"/>
          <w:lang w:val="fr-BE"/>
        </w:rPr>
        <w:t xml:space="preserve">Le bien est vendu </w:t>
      </w:r>
      <w:r w:rsidRPr="006E0C2B">
        <w:rPr>
          <w:rFonts w:asciiTheme="majorHAnsi" w:eastAsia="Times New Roman" w:hAnsiTheme="majorHAnsi" w:cstheme="majorHAnsi"/>
          <w:b/>
          <w:bCs/>
          <w:color w:val="auto"/>
          <w:lang w:val="fr-BE"/>
        </w:rPr>
        <w:t>sans infraction urbanistique</w:t>
      </w:r>
      <w:r w:rsidRPr="006E0C2B">
        <w:rPr>
          <w:rFonts w:asciiTheme="majorHAnsi" w:eastAsia="Times New Roman" w:hAnsiTheme="majorHAnsi" w:cstheme="majorHAnsi"/>
          <w:color w:val="auto"/>
          <w:lang w:val="fr-BE"/>
        </w:rPr>
        <w:t>.</w:t>
      </w:r>
    </w:p>
    <w:p w14:paraId="3BCD2FFC" w14:textId="77777777" w:rsidR="006E0C2B" w:rsidRPr="006E0C2B" w:rsidRDefault="006E0C2B" w:rsidP="006E0C2B">
      <w:pPr>
        <w:pStyle w:val="Paragraphedeliste"/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77777777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de </w:t>
      </w:r>
      <w:hyperlink r:id="rId30" w:history="1">
        <w:r w:rsidRPr="006E0C2B">
          <w:rPr>
            <w:rStyle w:val="Lienhypertexte"/>
            <w:rFonts w:asciiTheme="majorHAnsi" w:eastAsia="Times New Roman" w:hAnsiTheme="majorHAnsi" w:cstheme="majorHAnsi"/>
            <w:color w:val="2E74B5" w:themeColor="accent5" w:themeShade="BF"/>
            <w:u w:val="none"/>
            <w:lang w:val="fr-BE"/>
          </w:rPr>
          <w:t>vices non-apparents</w:t>
        </w:r>
      </w:hyperlink>
      <w:r w:rsidRPr="006E0C2B">
        <w:rPr>
          <w:rFonts w:asciiTheme="majorHAnsi" w:eastAsia="Times New Roman" w:hAnsiTheme="majorHAnsi" w:cstheme="majorHAnsi"/>
          <w:lang w:val="fr-BE"/>
        </w:rPr>
        <w:t xml:space="preserve">, ni de </w:t>
      </w:r>
      <w:hyperlink r:id="rId31" w:history="1">
        <w:r w:rsidRPr="006E0C2B">
          <w:rPr>
            <w:rStyle w:val="Lienhypertexte"/>
            <w:rFonts w:asciiTheme="majorHAnsi" w:eastAsia="Times New Roman" w:hAnsiTheme="majorHAnsi" w:cstheme="majorHAnsi"/>
            <w:color w:val="2E74B5" w:themeColor="accent5" w:themeShade="BF"/>
            <w:u w:val="none"/>
            <w:lang w:val="fr-BE"/>
          </w:rPr>
          <w:t>servitudes</w:t>
        </w:r>
      </w:hyperlink>
      <w:r w:rsidRPr="006E0C2B">
        <w:rPr>
          <w:rFonts w:asciiTheme="majorHAnsi" w:eastAsia="Times New Roman" w:hAnsiTheme="majorHAnsi" w:cstheme="majorHAnsi"/>
          <w:lang w:val="fr-BE"/>
        </w:rPr>
        <w:t xml:space="preserve"> (le vendeur est invité à vérifier cette information dans son acte d’achat) 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2FCEC608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lastRenderedPageBreak/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32107905" w14:textId="74BD386B" w:rsidR="006E0C2B" w:rsidRPr="006E0C2B" w:rsidRDefault="00514C2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3FD1">
            <w:rPr>
              <w:rFonts w:ascii="MS Gothic" w:eastAsia="MS Gothic" w:hAnsi="MS Gothic" w:cstheme="majorHAnsi" w:hint="eastAsia"/>
              <w:bCs/>
              <w:color w:val="auto"/>
              <w:lang w:val="fr-BE"/>
            </w:rPr>
            <w:t>☒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3CFF8C2F" w14:textId="672B6407" w:rsidR="006E0C2B" w:rsidRPr="006E0C2B" w:rsidRDefault="00514C2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3FD1">
            <w:rPr>
              <w:rFonts w:ascii="MS Gothic" w:eastAsia="MS Gothic" w:hAnsi="MS Gothic" w:cstheme="majorHAnsi" w:hint="eastAsia"/>
              <w:bCs/>
              <w:color w:val="auto"/>
              <w:lang w:val="fr-BE"/>
            </w:rPr>
            <w:t>☒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2620288B" w:rsidR="006E0C2B" w:rsidRPr="006E0C2B" w:rsidRDefault="00514C2C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C3FD1">
            <w:rPr>
              <w:rFonts w:ascii="MS Gothic" w:eastAsia="MS Gothic" w:hAnsi="MS Gothic" w:cstheme="majorHAnsi" w:hint="eastAsia"/>
              <w:bCs/>
              <w:lang w:val="fr-BE"/>
            </w:rPr>
            <w:t>☒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04FFB5C4" w14:textId="77777777" w:rsidR="006D7CE9" w:rsidRPr="006E0C2B" w:rsidRDefault="006D7CE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0D2A0E3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L'acte sera signé dans les 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59BF057" w:rsidR="006E0C2B" w:rsidRPr="00A73A6A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</w:t>
      </w:r>
      <w:r w:rsidRPr="00A73A6A">
        <w:rPr>
          <w:rFonts w:asciiTheme="majorHAnsi" w:hAnsiTheme="majorHAnsi" w:cstheme="majorHAnsi"/>
          <w:color w:val="auto"/>
          <w:lang w:val="fr-BE"/>
        </w:rPr>
        <w:t xml:space="preserve">notaire, choisit l’étude </w:t>
      </w:r>
      <w:r w:rsidR="00A73A6A" w:rsidRPr="00A73A6A">
        <w:rPr>
          <w:rFonts w:asciiTheme="majorHAnsi" w:hAnsiTheme="majorHAnsi" w:cstheme="majorHAnsi"/>
          <w:color w:val="auto"/>
          <w:lang w:val="fr-BE"/>
        </w:rPr>
        <w:t xml:space="preserve">des notaires </w:t>
      </w:r>
      <w:r w:rsidR="00DC3FD1">
        <w:rPr>
          <w:rFonts w:asciiTheme="majorHAnsi" w:hAnsiTheme="majorHAnsi" w:cstheme="majorHAnsi"/>
          <w:color w:val="auto"/>
          <w:lang w:val="fr-BE"/>
        </w:rPr>
        <w:t xml:space="preserve"> 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291C419" w14:textId="77777777" w:rsid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  <w:p w14:paraId="34113E4E" w14:textId="77777777" w:rsidR="00D4118C" w:rsidRPr="006E0C2B" w:rsidRDefault="00D4118C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039FF04B" w14:textId="717CEC99" w:rsidR="00CF1DF6" w:rsidRDefault="00CF1DF6"/>
    <w:sectPr w:rsidR="00CF1DF6" w:rsidSect="0098606B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D319B" w14:textId="77777777" w:rsidR="004C198F" w:rsidRDefault="004C198F" w:rsidP="006E0C2B">
      <w:r>
        <w:separator/>
      </w:r>
    </w:p>
  </w:endnote>
  <w:endnote w:type="continuationSeparator" w:id="0">
    <w:p w14:paraId="4E4DAD8B" w14:textId="77777777" w:rsidR="004C198F" w:rsidRDefault="004C198F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993B" w14:textId="77777777" w:rsidR="00460266" w:rsidRDefault="0046026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40D7" w14:textId="77777777" w:rsidR="00460266" w:rsidRDefault="0046026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4976" w14:textId="77777777" w:rsidR="00460266" w:rsidRDefault="004602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569C" w14:textId="77777777" w:rsidR="004C198F" w:rsidRDefault="004C198F" w:rsidP="006E0C2B">
      <w:r>
        <w:separator/>
      </w:r>
    </w:p>
  </w:footnote>
  <w:footnote w:type="continuationSeparator" w:id="0">
    <w:p w14:paraId="6E5E4A8A" w14:textId="77777777" w:rsidR="004C198F" w:rsidRDefault="004C198F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619F2637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Pour autant que toutes les conditions reprises dans l’offre sont remplies et que tous les documents légalement obligatoires sont transmis à l’offrant.</w:t>
      </w:r>
    </w:p>
  </w:footnote>
  <w:footnote w:id="3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Fednot – Federia – CIB.</w:t>
      </w:r>
    </w:p>
  </w:footnote>
  <w:footnote w:id="4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03C3" w14:textId="77777777" w:rsidR="00460266" w:rsidRDefault="0046026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E2D4" w14:textId="77777777" w:rsidR="00460266" w:rsidRDefault="0046026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ED87" w14:textId="391BBE0E" w:rsidR="0098606B" w:rsidRDefault="0098606B" w:rsidP="009E4F3D">
    <w:pPr>
      <w:pStyle w:val="En-tte"/>
      <w:rPr>
        <w:rFonts w:cstheme="minorHAnsi"/>
        <w:i/>
        <w:iCs/>
        <w:sz w:val="22"/>
        <w:szCs w:val="22"/>
      </w:rPr>
    </w:pPr>
    <w:r>
      <w:rPr>
        <w:i/>
        <w:noProof/>
      </w:rPr>
      <w:drawing>
        <wp:inline distT="0" distB="0" distL="0" distR="0" wp14:anchorId="7857025D" wp14:editId="3D029D7A">
          <wp:extent cx="1771875" cy="659925"/>
          <wp:effectExtent l="0" t="0" r="0" b="6985"/>
          <wp:docPr id="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CF pos-page-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41" t="30070" b="25671"/>
                  <a:stretch/>
                </pic:blipFill>
                <pic:spPr bwMode="auto">
                  <a:xfrm>
                    <a:off x="0" y="0"/>
                    <a:ext cx="1836550" cy="6840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85B412B" w14:textId="77777777" w:rsidR="00DF149E" w:rsidRDefault="00DF149E" w:rsidP="00C262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417A57"/>
    <w:multiLevelType w:val="hybridMultilevel"/>
    <w:tmpl w:val="4FA250A6"/>
    <w:lvl w:ilvl="0" w:tplc="818AECF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20490"/>
    <w:multiLevelType w:val="hybridMultilevel"/>
    <w:tmpl w:val="27182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F4637"/>
    <w:multiLevelType w:val="hybridMultilevel"/>
    <w:tmpl w:val="F1D65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5556604">
    <w:abstractNumId w:val="0"/>
  </w:num>
  <w:num w:numId="2" w16cid:durableId="1720779849">
    <w:abstractNumId w:val="6"/>
  </w:num>
  <w:num w:numId="3" w16cid:durableId="934559641">
    <w:abstractNumId w:val="8"/>
  </w:num>
  <w:num w:numId="4" w16cid:durableId="979044289">
    <w:abstractNumId w:val="1"/>
  </w:num>
  <w:num w:numId="5" w16cid:durableId="1613246719">
    <w:abstractNumId w:val="5"/>
  </w:num>
  <w:num w:numId="6" w16cid:durableId="821579140">
    <w:abstractNumId w:val="4"/>
  </w:num>
  <w:num w:numId="7" w16cid:durableId="546069026">
    <w:abstractNumId w:val="3"/>
  </w:num>
  <w:num w:numId="8" w16cid:durableId="1723628737">
    <w:abstractNumId w:val="7"/>
  </w:num>
  <w:num w:numId="9" w16cid:durableId="1216353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2B"/>
    <w:rsid w:val="00017683"/>
    <w:rsid w:val="00041F68"/>
    <w:rsid w:val="0006024F"/>
    <w:rsid w:val="00092918"/>
    <w:rsid w:val="000A2338"/>
    <w:rsid w:val="000B3649"/>
    <w:rsid w:val="001426A4"/>
    <w:rsid w:val="001D56F0"/>
    <w:rsid w:val="002228E1"/>
    <w:rsid w:val="0023499D"/>
    <w:rsid w:val="00246404"/>
    <w:rsid w:val="002B7E16"/>
    <w:rsid w:val="002E7460"/>
    <w:rsid w:val="00367536"/>
    <w:rsid w:val="00374F70"/>
    <w:rsid w:val="003F1478"/>
    <w:rsid w:val="004130B9"/>
    <w:rsid w:val="0042086B"/>
    <w:rsid w:val="00424F4F"/>
    <w:rsid w:val="0044460D"/>
    <w:rsid w:val="00460266"/>
    <w:rsid w:val="004751B7"/>
    <w:rsid w:val="004900EF"/>
    <w:rsid w:val="004A3210"/>
    <w:rsid w:val="004C198F"/>
    <w:rsid w:val="004F044A"/>
    <w:rsid w:val="004F772D"/>
    <w:rsid w:val="00514C2C"/>
    <w:rsid w:val="00516542"/>
    <w:rsid w:val="00522257"/>
    <w:rsid w:val="005364B1"/>
    <w:rsid w:val="00650219"/>
    <w:rsid w:val="006D7CE9"/>
    <w:rsid w:val="006E0C2B"/>
    <w:rsid w:val="00716CA1"/>
    <w:rsid w:val="00734101"/>
    <w:rsid w:val="00776609"/>
    <w:rsid w:val="00824640"/>
    <w:rsid w:val="008B54A4"/>
    <w:rsid w:val="00921ED8"/>
    <w:rsid w:val="00985571"/>
    <w:rsid w:val="0098606B"/>
    <w:rsid w:val="00A73A6A"/>
    <w:rsid w:val="00A85931"/>
    <w:rsid w:val="00B17935"/>
    <w:rsid w:val="00B95D95"/>
    <w:rsid w:val="00C1003E"/>
    <w:rsid w:val="00C55591"/>
    <w:rsid w:val="00C82BE7"/>
    <w:rsid w:val="00C9420E"/>
    <w:rsid w:val="00CA1F11"/>
    <w:rsid w:val="00CF1DF6"/>
    <w:rsid w:val="00D10645"/>
    <w:rsid w:val="00D223D3"/>
    <w:rsid w:val="00D4118C"/>
    <w:rsid w:val="00DA7285"/>
    <w:rsid w:val="00DC3FD1"/>
    <w:rsid w:val="00DF149E"/>
    <w:rsid w:val="00E8199F"/>
    <w:rsid w:val="00E93EE2"/>
    <w:rsid w:val="00E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1ED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ED8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taire.be/lexique/G/garantie" TargetMode="External"/><Relationship Id="rId18" Type="http://schemas.openxmlformats.org/officeDocument/2006/relationships/hyperlink" Target="https://www.notaire.be/lexique/D/debours" TargetMode="External"/><Relationship Id="rId26" Type="http://schemas.openxmlformats.org/officeDocument/2006/relationships/hyperlink" Target="https://www.notaire.be/lexique/V/vices-apparents-ou-caches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notaire.be/lexique/C/condition-suspensive-1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M/mise-en-demeure" TargetMode="External"/><Relationship Id="rId17" Type="http://schemas.openxmlformats.org/officeDocument/2006/relationships/hyperlink" Target="https://www.notaire.be/lexique/D/droits-denregistrement" TargetMode="External"/><Relationship Id="rId25" Type="http://schemas.openxmlformats.org/officeDocument/2006/relationships/hyperlink" Target="https://www.notaire.be/lexique/V/vices-apparents-ou-caches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lexique/G/garantie" TargetMode="External"/><Relationship Id="rId20" Type="http://schemas.openxmlformats.org/officeDocument/2006/relationships/hyperlink" Target="https://www.notaire.be/calcul-de-frais" TargetMode="External"/><Relationship Id="rId29" Type="http://schemas.openxmlformats.org/officeDocument/2006/relationships/hyperlink" Target="https://www.notaire.be/lexique/S/servitud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yperlink" Target="https://www.notaire.be/lexique/P/privilege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S/somme-consignee" TargetMode="External"/><Relationship Id="rId23" Type="http://schemas.openxmlformats.org/officeDocument/2006/relationships/hyperlink" Target="https://www.notaire.be/lexique/H/hypotheque" TargetMode="External"/><Relationship Id="rId28" Type="http://schemas.openxmlformats.org/officeDocument/2006/relationships/hyperlink" Target="https://www.notaire.be/lexique/M/mitoyennete" TargetMode="External"/><Relationship Id="rId36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D/debours" TargetMode="External"/><Relationship Id="rId31" Type="http://schemas.openxmlformats.org/officeDocument/2006/relationships/hyperlink" Target="https://www.notaire.be/lexique/S/servitu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J/jouissance" TargetMode="External"/><Relationship Id="rId27" Type="http://schemas.openxmlformats.org/officeDocument/2006/relationships/hyperlink" Target="https://www.notaire.be/lexique/V/vices-apparents-ou-caches" TargetMode="External"/><Relationship Id="rId30" Type="http://schemas.openxmlformats.org/officeDocument/2006/relationships/hyperlink" Target="https://www.notaire.be/lexique/V/vices-apparents-ou-caches" TargetMode="External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6" ma:contentTypeDescription="Crée un document." ma:contentTypeScope="" ma:versionID="5b0ef310af8e4ce34f76928a2496bc36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268e2c279475bb532f122a11b0d111d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89E6B-4B1B-451E-8B6E-8588358BB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6387</Characters>
  <Application>Microsoft Office Word</Application>
  <DocSecurity>4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2</cp:revision>
  <dcterms:created xsi:type="dcterms:W3CDTF">2026-05-26T07:21:00Z</dcterms:created>
  <dcterms:modified xsi:type="dcterms:W3CDTF">2026-05-26T07:21:00Z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