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43FB0E2C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243591CF" w14:textId="77777777" w:rsidR="00E0069C" w:rsidRPr="00E0069C" w:rsidRDefault="00E0069C" w:rsidP="00E0069C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E0069C">
        <w:rPr>
          <w:rFonts w:asciiTheme="majorHAnsi" w:hAnsiTheme="majorHAnsi" w:cstheme="majorHAnsi"/>
          <w:b/>
          <w:bCs/>
          <w:lang w:val="fr-BE"/>
        </w:rPr>
        <w:t>COMMUNE DE BRAINE-L'ALLEUD - sixième division - Ophain-Bois-Seigneur-Isaac</w:t>
      </w:r>
    </w:p>
    <w:p w14:paraId="256DED3C" w14:textId="59B785E3" w:rsidR="00E0069C" w:rsidRPr="00E0069C" w:rsidRDefault="00E0069C" w:rsidP="00E0069C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E0069C">
        <w:rPr>
          <w:rFonts w:asciiTheme="majorHAnsi" w:hAnsiTheme="majorHAnsi" w:cstheme="majorHAnsi"/>
          <w:lang w:val="fr-BE"/>
        </w:rPr>
        <w:t>Lot 1 : Une parcelle de terrain située rue de Bois Seigneur Isaac, d’une superficie d’après le plan ci-après de 10 a 03 ca à prendre dans la parcelle cadastrée section B, numéro 240NP0000</w:t>
      </w:r>
      <w:r>
        <w:rPr>
          <w:rFonts w:asciiTheme="majorHAnsi" w:hAnsiTheme="majorHAnsi" w:cstheme="majorHAnsi"/>
          <w:lang w:val="fr-BE"/>
        </w:rPr>
        <w:t xml:space="preserve">. </w:t>
      </w:r>
      <w:r w:rsidRPr="00E0069C">
        <w:rPr>
          <w:rFonts w:asciiTheme="majorHAnsi" w:hAnsiTheme="majorHAnsi" w:cstheme="majorHAnsi"/>
          <w:lang w:val="fr-BE"/>
        </w:rPr>
        <w:t>Tel que ce bien est repris teinté de vert au plan de mesurage et de division dressé par Monsieur Marcel Raes, géomètre à Obaix, le 29 avril 2026, ci-annexé.</w:t>
      </w:r>
    </w:p>
    <w:p w14:paraId="0532D092" w14:textId="77777777" w:rsidR="00E0069C" w:rsidRPr="00E0069C" w:rsidRDefault="00E0069C" w:rsidP="00E0069C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E0069C">
        <w:rPr>
          <w:rFonts w:asciiTheme="majorHAnsi" w:hAnsiTheme="majorHAnsi" w:cstheme="majorHAnsi"/>
          <w:lang w:val="fr-BE"/>
        </w:rPr>
        <w:t> </w:t>
      </w:r>
    </w:p>
    <w:p w14:paraId="615FCAA6" w14:textId="61D9C1CA" w:rsidR="00E0069C" w:rsidRPr="00E0069C" w:rsidRDefault="00E0069C" w:rsidP="00E0069C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E0069C">
        <w:rPr>
          <w:rFonts w:asciiTheme="majorHAnsi" w:hAnsiTheme="majorHAnsi" w:cstheme="majorHAnsi"/>
          <w:lang w:val="fr-BE"/>
        </w:rPr>
        <w:t>Lot 2.Une parcelle de terrain située rue de Bois Seigneur Isaac, d’une superficie d’après le plan ciaprès de 11a 89 ca à prendre dans la parcelle cadastrée section B, numéro 240NP0000</w:t>
      </w:r>
      <w:r>
        <w:rPr>
          <w:rFonts w:asciiTheme="majorHAnsi" w:hAnsiTheme="majorHAnsi" w:cstheme="majorHAnsi"/>
          <w:lang w:val="fr-BE"/>
        </w:rPr>
        <w:t xml:space="preserve">. </w:t>
      </w:r>
      <w:r w:rsidRPr="00E0069C">
        <w:rPr>
          <w:rFonts w:asciiTheme="majorHAnsi" w:hAnsiTheme="majorHAnsi" w:cstheme="majorHAnsi"/>
          <w:lang w:val="fr-BE"/>
        </w:rPr>
        <w:t>Tel que ce bien est repris teinté de jaune au plan de mesurage et de division dressé par Monsieur Marcel Raes, géomètre à Obaix, le 29 avril 2026, ci-annexé.</w:t>
      </w:r>
      <w:r w:rsidRPr="00E0069C">
        <w:rPr>
          <w:rFonts w:asciiTheme="majorHAnsi" w:hAnsiTheme="majorHAnsi" w:cstheme="majorHAnsi"/>
          <w:lang w:val="fr-BE"/>
        </w:rPr>
        <w:br/>
      </w:r>
      <w:r w:rsidR="00C37BE2">
        <w:rPr>
          <w:rFonts w:asciiTheme="majorHAnsi" w:hAnsiTheme="majorHAnsi" w:cstheme="majorHAnsi"/>
          <w:lang w:val="fr-BE"/>
        </w:rPr>
        <w:lastRenderedPageBreak/>
        <w:t>Le lot 2</w:t>
      </w:r>
      <w:r w:rsidRPr="00E0069C">
        <w:rPr>
          <w:rFonts w:asciiTheme="majorHAnsi" w:hAnsiTheme="majorHAnsi" w:cstheme="majorHAnsi"/>
          <w:lang w:val="fr-BE"/>
        </w:rPr>
        <w:t xml:space="preserve"> est grevé d’une servitude de passage carrossable d’une largeur de 4 mètres reprise au dit plan.</w:t>
      </w:r>
    </w:p>
    <w:p w14:paraId="32EE3000" w14:textId="77777777" w:rsidR="00E0069C" w:rsidRPr="00E0069C" w:rsidRDefault="00E0069C" w:rsidP="00E0069C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E0069C">
        <w:rPr>
          <w:rFonts w:asciiTheme="majorHAnsi" w:hAnsiTheme="majorHAnsi" w:cstheme="majorHAnsi"/>
          <w:lang w:val="fr-BE"/>
        </w:rPr>
        <w:t>Frais de géomètre à charge de l'acheteur.</w:t>
      </w:r>
    </w:p>
    <w:p w14:paraId="52F49933" w14:textId="77777777" w:rsidR="00E0069C" w:rsidRPr="00A62942" w:rsidRDefault="00E0069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r w:rsidRPr="00AA2BBC">
          <w:t>garantie</w:t>
        </w:r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r w:rsidRPr="00AA2BBC">
          <w:t>consignée</w:t>
        </w:r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lastRenderedPageBreak/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4E161DB9" w14:textId="2361026A" w:rsidR="006E0C2B" w:rsidRDefault="00C33A7B" w:rsidP="00C33A7B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Soit par la perception des loyers si le bien est loué</w:t>
      </w:r>
      <w:r w:rsidR="006E0C2B" w:rsidRPr="00C33A7B">
        <w:rPr>
          <w:rFonts w:asciiTheme="majorHAnsi" w:hAnsiTheme="majorHAnsi" w:cstheme="majorHAnsi"/>
          <w:lang w:val="fr-BE"/>
        </w:rPr>
        <w:t>.</w:t>
      </w:r>
    </w:p>
    <w:p w14:paraId="721FE464" w14:textId="2586F761" w:rsidR="00C33A7B" w:rsidRDefault="00C33A7B" w:rsidP="00C33A7B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Soit par la libre dispo</w:t>
      </w:r>
      <w:r w:rsidR="005905E3">
        <w:rPr>
          <w:rFonts w:asciiTheme="majorHAnsi" w:hAnsiTheme="majorHAnsi" w:cstheme="majorHAnsi"/>
          <w:lang w:val="fr-BE"/>
        </w:rPr>
        <w:t>s</w:t>
      </w:r>
      <w:r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025A5668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</w:p>
    <w:p w14:paraId="32107905" w14:textId="4C5CFB96" w:rsidR="006E0C2B" w:rsidRDefault="00DB7937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108691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urbanistiques</w:t>
      </w:r>
    </w:p>
    <w:p w14:paraId="32B1B8F9" w14:textId="276A4557" w:rsidR="006E0C2B" w:rsidRPr="006E0C2B" w:rsidRDefault="00DB7937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DB7937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4343861E" w14:textId="1DACC949" w:rsidR="00846C78" w:rsidRPr="00DB7937" w:rsidRDefault="00DB7937" w:rsidP="00846C78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19473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846C78">
        <w:rPr>
          <w:rFonts w:asciiTheme="majorHAnsi" w:eastAsia="Times New Roman" w:hAnsiTheme="majorHAnsi" w:cstheme="majorHAnsi"/>
          <w:bCs/>
          <w:lang w:val="fr-BE"/>
        </w:rPr>
        <w:t>Plan de géomètre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Fednot – Federia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95D91"/>
    <w:rsid w:val="0033117E"/>
    <w:rsid w:val="003F1478"/>
    <w:rsid w:val="0040130E"/>
    <w:rsid w:val="00427BAF"/>
    <w:rsid w:val="004900EF"/>
    <w:rsid w:val="004F772D"/>
    <w:rsid w:val="00531875"/>
    <w:rsid w:val="005419BF"/>
    <w:rsid w:val="00581AE2"/>
    <w:rsid w:val="005905E3"/>
    <w:rsid w:val="006E0C2B"/>
    <w:rsid w:val="00824640"/>
    <w:rsid w:val="00846C78"/>
    <w:rsid w:val="008C70E8"/>
    <w:rsid w:val="009812B6"/>
    <w:rsid w:val="0098606B"/>
    <w:rsid w:val="00A61DCE"/>
    <w:rsid w:val="00A62942"/>
    <w:rsid w:val="00A85931"/>
    <w:rsid w:val="00AA2BBC"/>
    <w:rsid w:val="00C1003E"/>
    <w:rsid w:val="00C33A7B"/>
    <w:rsid w:val="00C37BE2"/>
    <w:rsid w:val="00C9420E"/>
    <w:rsid w:val="00CA0383"/>
    <w:rsid w:val="00CA1F11"/>
    <w:rsid w:val="00CF1DF6"/>
    <w:rsid w:val="00D10645"/>
    <w:rsid w:val="00D60DA9"/>
    <w:rsid w:val="00DB7937"/>
    <w:rsid w:val="00E0069C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~WRL3123.tmp</Template>
  <TotalTime>2</TotalTime>
  <Pages>4</Pages>
  <Words>1106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4</cp:revision>
  <cp:lastPrinted>2023-04-14T12:16:00Z</cp:lastPrinted>
  <dcterms:created xsi:type="dcterms:W3CDTF">2026-05-19T08:50:00Z</dcterms:created>
  <dcterms:modified xsi:type="dcterms:W3CDTF">2026-05-19T08:51:00Z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